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B6" w:rsidRPr="000974B6" w:rsidRDefault="000974B6" w:rsidP="000974B6">
      <w:pPr>
        <w:spacing w:before="195" w:after="48" w:line="360" w:lineRule="atLeast"/>
        <w:outlineLvl w:val="3"/>
        <w:rPr>
          <w:rFonts w:ascii="Georgia" w:eastAsia="Times New Roman" w:hAnsi="Georgia" w:cs="Times New Roman"/>
          <w:b/>
          <w:bCs/>
          <w:smallCaps/>
          <w:color w:val="1F1F1F"/>
          <w:sz w:val="34"/>
          <w:szCs w:val="34"/>
          <w:lang w:eastAsia="it-IT"/>
        </w:rPr>
      </w:pPr>
      <w:r w:rsidRPr="000974B6">
        <w:rPr>
          <w:rFonts w:ascii="Georgia" w:eastAsia="Times New Roman" w:hAnsi="Georgia" w:cs="Times New Roman"/>
          <w:b/>
          <w:bCs/>
          <w:smallCaps/>
          <w:color w:val="1F1F1F"/>
          <w:sz w:val="34"/>
          <w:szCs w:val="34"/>
          <w:lang w:eastAsia="it-IT"/>
        </w:rPr>
        <w:t>Come leggere i verbali di invalidità e di handicap</w:t>
      </w:r>
    </w:p>
    <w:p w:rsidR="000974B6" w:rsidRPr="000974B6" w:rsidRDefault="000974B6" w:rsidP="000974B6">
      <w:pPr>
        <w:spacing w:before="96" w:after="192" w:line="360" w:lineRule="atLeast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A chi richiede l'accertamento dell'invalidità civile, della cecità civile, del sordomutismo o dell'handicap, viene rilasciato, dopo una visita specifica, un verbale che definisce lo status dell'interessato e il grado di invalidità. Il verbale non è sempre di immediata ed agevole lettura. Non sempre si conoscono i benefici e le eventuali provvidenze economiche che da quel verbale derivano.</w:t>
      </w:r>
    </w:p>
    <w:p w:rsidR="000974B6" w:rsidRPr="000974B6" w:rsidRDefault="000974B6" w:rsidP="000974B6">
      <w:pPr>
        <w:spacing w:before="96" w:after="192" w:line="360" w:lineRule="atLeast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Questo servizio ti aiuta a leggere il tuo verbale di invalidità o di handicap e di conoscere, in sintesi, i benefici che ne derivano.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br/>
        <w:t xml:space="preserve">Come fare? Nel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tuo verbale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di </w:t>
      </w:r>
      <w:proofErr w:type="spellStart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invalidita</w:t>
      </w:r>
      <w:proofErr w:type="spellEnd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civile controlla quale sia la definizione riportata e barrata dalla Commissione di accertamento.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br/>
        <w:t xml:space="preserve">Una volta individuata la </w:t>
      </w:r>
      <w:proofErr w:type="spellStart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definizone</w:t>
      </w:r>
      <w:proofErr w:type="spellEnd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corrispondente, clicca su [benefici]</w:t>
      </w:r>
    </w:p>
    <w:p w:rsidR="000974B6" w:rsidRPr="000974B6" w:rsidRDefault="000974B6" w:rsidP="000974B6">
      <w:pPr>
        <w:spacing w:before="96" w:after="192" w:line="360" w:lineRule="atLeast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Le definizioni per le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minorazioni civili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presenti nei verbali solitamente sono: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non invalido - assenza di patologia o con una riduzione delle capacità inferiore ad 1/3.  [</w:t>
      </w:r>
      <w:hyperlink r:id="rId6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riduzione permanente della capacità lavorativa in misura superiore ad 1/3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(art. 2, L. 118/1971).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 [</w:t>
      </w:r>
      <w:hyperlink r:id="rId7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riduzione permanente della capacità lavorativa in misura superiore ai 2/3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(artt. 2 e 13, L. 118/1971).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 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[</w:t>
      </w:r>
      <w:hyperlink r:id="rId8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riduzione permanente con invalidità pari o superiore al 74%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(artt. 2 e 13, L. 118/1971)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. 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[</w:t>
      </w:r>
      <w:hyperlink r:id="rId9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totale e permanente inabilità lavorativa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(artt. 2 e 12, L. 118/1971):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100%. [</w:t>
      </w:r>
      <w:hyperlink r:id="rId10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totale e permanente inabilità lavorativa 100% e impossibilità a deambulare senza l'aiuto permanente di un accompagnatore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18/1980 e L. 508/1988)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. [</w:t>
      </w:r>
      <w:hyperlink r:id="rId11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invalido con totale e permanente inabilità lavorativa 100% e con necessità di assistenza continua non essendo in grado di svolgere gli atti quotidiani della vita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18/1980 e L. 508/1988)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. [</w:t>
      </w:r>
      <w:hyperlink r:id="rId12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1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minore con difficoltà persistenti a svolgere le funzioni proprie dell'età o con perdita uditiva superiore a 60 decibel nell'orecchio migliore nelle frequenze 500, 1000, 2000 hertz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289/1990)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. [</w:t>
      </w:r>
      <w:hyperlink r:id="rId13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2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cieco con residuo visivo non superiore ad un ventesimo in entrambi gli occhi con eventuale correzione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382/1970 e 508/1988)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. [</w:t>
      </w:r>
      <w:hyperlink r:id="rId14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2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cieco assoluto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382/1970 e L. 508/1988).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 [</w:t>
      </w:r>
      <w:hyperlink r:id="rId15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2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sordomuto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(L. 381/1970 e L. 508/1988).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 [</w:t>
      </w:r>
      <w:hyperlink r:id="rId16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3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ultra65enne con difficoltà persistenti a svolgere le funzioni proprie della sua età (art. 9 </w:t>
      </w:r>
      <w:proofErr w:type="spellStart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D.Lgs.</w:t>
      </w:r>
      <w:proofErr w:type="spellEnd"/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509/1988).[</w:t>
      </w:r>
      <w:hyperlink r:id="rId17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3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lastRenderedPageBreak/>
        <w:t>ultra65enne con impossibilità a deambulare senza l'aiuto permanente di un accompagnatore (L. 18/1980 e L. 508/1988). [</w:t>
      </w:r>
      <w:hyperlink r:id="rId18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3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ultra65enne con necessità di assistenza continua non essendo in grado di svolgere gli atti quotidiani della vita (L. 18/1980 e L. 508/1988). [</w:t>
      </w:r>
      <w:hyperlink r:id="rId19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spacing w:before="96" w:after="192" w:line="360" w:lineRule="atLeast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Puoi effettuare la stessa operazione con il tuo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verbale di handicap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(Legge 104/1992). Le definizioni per le minorazioni civili solitamente sono:</w:t>
      </w:r>
    </w:p>
    <w:p w:rsidR="000974B6" w:rsidRPr="000974B6" w:rsidRDefault="000974B6" w:rsidP="000974B6">
      <w:pPr>
        <w:numPr>
          <w:ilvl w:val="0"/>
          <w:numId w:val="4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1. Persona non handicappata</w:t>
      </w:r>
    </w:p>
    <w:p w:rsidR="000974B6" w:rsidRPr="000974B6" w:rsidRDefault="000974B6" w:rsidP="000974B6">
      <w:pPr>
        <w:numPr>
          <w:ilvl w:val="0"/>
          <w:numId w:val="4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2.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Persona con handicap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(articolo 3, comma 1, Legge 104/1992)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[</w:t>
      </w:r>
      <w:hyperlink r:id="rId20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4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3.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Persona con handicap con connotazione di gravità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(articolo 3, comma 3, Legge 104/1992)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[</w:t>
      </w:r>
      <w:hyperlink r:id="rId21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0974B6" w:rsidRPr="000974B6" w:rsidRDefault="000974B6" w:rsidP="000974B6">
      <w:pPr>
        <w:numPr>
          <w:ilvl w:val="0"/>
          <w:numId w:val="4"/>
        </w:numPr>
        <w:spacing w:before="100" w:beforeAutospacing="1" w:after="120" w:line="360" w:lineRule="atLeast"/>
        <w:ind w:left="0"/>
        <w:jc w:val="both"/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</w:pP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4. </w:t>
      </w:r>
      <w:r w:rsidRPr="000974B6">
        <w:rPr>
          <w:rFonts w:ascii="Verdana" w:eastAsia="Times New Roman" w:hAnsi="Verdana" w:cs="Times New Roman"/>
          <w:b/>
          <w:bCs/>
          <w:color w:val="1D1D1D"/>
          <w:sz w:val="19"/>
          <w:szCs w:val="19"/>
          <w:lang w:eastAsia="it-IT"/>
        </w:rPr>
        <w:t>Persona con handicap superiore ai 2/3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</w:t>
      </w:r>
      <w:r w:rsidRPr="000974B6">
        <w:rPr>
          <w:rFonts w:ascii="Verdana" w:eastAsia="Times New Roman" w:hAnsi="Verdana" w:cs="Times New Roman"/>
          <w:i/>
          <w:iCs/>
          <w:color w:val="1D1D1D"/>
          <w:sz w:val="19"/>
          <w:szCs w:val="19"/>
          <w:lang w:eastAsia="it-IT"/>
        </w:rPr>
        <w:t>(articolo 21, Legge 104/1992)</w:t>
      </w:r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 xml:space="preserve"> [</w:t>
      </w:r>
      <w:hyperlink r:id="rId22" w:history="1">
        <w:r w:rsidRPr="000974B6">
          <w:rPr>
            <w:rFonts w:ascii="Verdana" w:eastAsia="Times New Roman" w:hAnsi="Verdana" w:cs="Times New Roman"/>
            <w:b/>
            <w:bCs/>
            <w:color w:val="761633"/>
            <w:sz w:val="19"/>
            <w:szCs w:val="19"/>
            <w:u w:val="single"/>
            <w:lang w:eastAsia="it-IT"/>
          </w:rPr>
          <w:t>benefici</w:t>
        </w:r>
      </w:hyperlink>
      <w:r w:rsidRPr="000974B6">
        <w:rPr>
          <w:rFonts w:ascii="Verdana" w:eastAsia="Times New Roman" w:hAnsi="Verdana" w:cs="Times New Roman"/>
          <w:color w:val="1D1D1D"/>
          <w:sz w:val="19"/>
          <w:szCs w:val="19"/>
          <w:lang w:eastAsia="it-IT"/>
        </w:rPr>
        <w:t>]</w:t>
      </w:r>
    </w:p>
    <w:p w:rsidR="00492EE9" w:rsidRDefault="000974B6">
      <w:bookmarkStart w:id="0" w:name="_GoBack"/>
      <w:bookmarkEnd w:id="0"/>
    </w:p>
    <w:sectPr w:rsidR="00492E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F4477"/>
    <w:multiLevelType w:val="multilevel"/>
    <w:tmpl w:val="9446C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F0B86"/>
    <w:multiLevelType w:val="multilevel"/>
    <w:tmpl w:val="730C0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3B0893"/>
    <w:multiLevelType w:val="multilevel"/>
    <w:tmpl w:val="5DA84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95EDE"/>
    <w:multiLevelType w:val="multilevel"/>
    <w:tmpl w:val="44A01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75"/>
    <w:rsid w:val="000974B6"/>
    <w:rsid w:val="009A6852"/>
    <w:rsid w:val="00AC437C"/>
    <w:rsid w:val="00C2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974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974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9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dylex.org/schede/benefici/cod03.shtml" TargetMode="External"/><Relationship Id="rId13" Type="http://schemas.openxmlformats.org/officeDocument/2006/relationships/hyperlink" Target="http://www.handylex.org/schede/benefici/cod07.shtml" TargetMode="External"/><Relationship Id="rId18" Type="http://schemas.openxmlformats.org/officeDocument/2006/relationships/hyperlink" Target="http://www.handylex.org/schede/benefici/cod05a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andylex.org/schede/benefici/codH3.shtml" TargetMode="External"/><Relationship Id="rId7" Type="http://schemas.openxmlformats.org/officeDocument/2006/relationships/hyperlink" Target="http://www.handylex.org/schede/benefici/cod02.shtml" TargetMode="External"/><Relationship Id="rId12" Type="http://schemas.openxmlformats.org/officeDocument/2006/relationships/hyperlink" Target="http://www.handylex.org/schede/benefici/cod06.shtml" TargetMode="External"/><Relationship Id="rId17" Type="http://schemas.openxmlformats.org/officeDocument/2006/relationships/hyperlink" Target="http://www.handylex.org/schede/benefici/cod1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andylex.org/schede/benefici/cod10.shtml" TargetMode="External"/><Relationship Id="rId20" Type="http://schemas.openxmlformats.org/officeDocument/2006/relationships/hyperlink" Target="http://www.handylex.org/schede/benefici/codH2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andylex.org/schede/benefici/cod01.shtml" TargetMode="External"/><Relationship Id="rId11" Type="http://schemas.openxmlformats.org/officeDocument/2006/relationships/hyperlink" Target="http://www.handylex.org/schede/benefici/cod05.s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handylex.org/schede/benefici/cod09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handylex.org/schede/benefici/cod04.shtml" TargetMode="External"/><Relationship Id="rId19" Type="http://schemas.openxmlformats.org/officeDocument/2006/relationships/hyperlink" Target="http://www.handylex.org/schede/benefici/cod05b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andylex.org/schede/benefici/cod03a.shtml" TargetMode="External"/><Relationship Id="rId14" Type="http://schemas.openxmlformats.org/officeDocument/2006/relationships/hyperlink" Target="http://www.handylex.org/schede/benefici/cod08.shtml" TargetMode="External"/><Relationship Id="rId22" Type="http://schemas.openxmlformats.org/officeDocument/2006/relationships/hyperlink" Target="http://www.handylex.org/schede/benefici/codH4.s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Chimenti</dc:creator>
  <cp:lastModifiedBy>Cristina Chimenti</cp:lastModifiedBy>
  <cp:revision>2</cp:revision>
  <dcterms:created xsi:type="dcterms:W3CDTF">2014-06-09T11:30:00Z</dcterms:created>
  <dcterms:modified xsi:type="dcterms:W3CDTF">2014-06-09T11:30:00Z</dcterms:modified>
</cp:coreProperties>
</file>